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80F" w:rsidRDefault="0092180F" w:rsidP="0092180F">
      <w:pPr>
        <w:spacing w:before="120"/>
      </w:pPr>
      <w:bookmarkStart w:id="0" w:name="_GoBack"/>
      <w:bookmarkEnd w:id="0"/>
      <w:r>
        <w:t>TESEV – 9-10 Aralık 2005, VATANDAŞ VE AZINLIK</w:t>
      </w:r>
    </w:p>
    <w:p w:rsidR="0092180F" w:rsidRDefault="0092180F" w:rsidP="0092180F">
      <w:pPr>
        <w:spacing w:before="120"/>
      </w:pPr>
    </w:p>
    <w:p w:rsidR="0043200E" w:rsidRDefault="0043200E" w:rsidP="0092180F">
      <w:pPr>
        <w:spacing w:before="120"/>
        <w:ind w:left="-360" w:firstLine="1068"/>
      </w:pPr>
      <w:r>
        <w:t>Etnik temizlik, soykırım vs. gibi “radikal” çözümler dışında, azınlıklar sorununa 3 temel açıdan yaklaşılır:</w:t>
      </w:r>
    </w:p>
    <w:p w:rsidR="0043200E" w:rsidRDefault="0043200E" w:rsidP="0043200E">
      <w:pPr>
        <w:numPr>
          <w:ilvl w:val="0"/>
          <w:numId w:val="2"/>
        </w:numPr>
        <w:spacing w:before="120"/>
        <w:ind w:left="0"/>
      </w:pPr>
      <w:r>
        <w:t>Çokkültürcülük: Hiçbir azınlığa azınlık olarak yaklaşılmaz, eşit unsurlardan biri olarak yaklaşılır. Bir tür çokhukukluluk bile söz konusu olabilir. Fakat yalnızca beyaz kolonlar tarafından kurulmuş “sentetik” devletlerde geçerlidir.</w:t>
      </w:r>
    </w:p>
    <w:p w:rsidR="0043200E" w:rsidRDefault="0043200E" w:rsidP="0043200E">
      <w:pPr>
        <w:numPr>
          <w:ilvl w:val="0"/>
          <w:numId w:val="2"/>
        </w:numPr>
        <w:spacing w:before="120"/>
        <w:ind w:left="0"/>
      </w:pPr>
      <w:r>
        <w:t xml:space="preserve">Uluslararasınca korunmuş azınlık hakları vermek: En yakın örneği Lozan. Fakat azınlığı çoğunluğa hedef gösterebilir, ayrıca azınlığı tecrit edebilir. </w:t>
      </w:r>
    </w:p>
    <w:p w:rsidR="0043200E" w:rsidRDefault="0043200E" w:rsidP="0043200E">
      <w:pPr>
        <w:numPr>
          <w:ilvl w:val="0"/>
          <w:numId w:val="2"/>
        </w:numPr>
        <w:spacing w:before="120"/>
        <w:ind w:left="0"/>
      </w:pPr>
      <w:r>
        <w:t>Genişletilmiş ve derinleştirilmiş demokrasi uygulamak:  Bu konferansta sözü edilecek de budur.</w:t>
      </w:r>
    </w:p>
    <w:p w:rsidR="0043200E" w:rsidRDefault="0043200E" w:rsidP="0043200E">
      <w:pPr>
        <w:spacing w:before="120"/>
        <w:ind w:left="-360"/>
        <w:jc w:val="center"/>
      </w:pPr>
      <w:r>
        <w:t>٭٭٭</w:t>
      </w:r>
    </w:p>
    <w:p w:rsidR="00CD2659" w:rsidRDefault="00030A0A" w:rsidP="00CD2659">
      <w:pPr>
        <w:spacing w:before="120"/>
        <w:ind w:firstLine="708"/>
      </w:pPr>
      <w:r>
        <w:t xml:space="preserve">Burada </w:t>
      </w:r>
      <w:r w:rsidR="00CD2659">
        <w:t>Vatandaşlık dediğim zaman kastettiğim şudur: Kişiler ile devletleri arasında yasalarca tanımlanmış karşılıklı hak ve görevlere dayanan hukuksal bağ.</w:t>
      </w:r>
      <w:r w:rsidR="0043200E">
        <w:t xml:space="preserve"> Çok basitleştirmek gerekirse, vatandaşın devlete karşı görevi sadakat, devletin vatandaşa karşı görevi de onu mutlu etmek olarak özetlenebilir. Bu ikisi arasında çok ciddi bir ilişki vardır, çünkü ikisi birbirine bağlıdır. </w:t>
      </w:r>
    </w:p>
    <w:p w:rsidR="0043200E" w:rsidRDefault="00030A0A" w:rsidP="008A4FC9">
      <w:pPr>
        <w:spacing w:before="120"/>
        <w:ind w:firstLine="708"/>
      </w:pPr>
      <w:r>
        <w:t>“</w:t>
      </w:r>
      <w:r w:rsidR="00CD2659">
        <w:t>A</w:t>
      </w:r>
      <w:r>
        <w:t>zınlık” dediğim zaman</w:t>
      </w:r>
      <w:r w:rsidR="00CD2659">
        <w:t xml:space="preserve">, kastettiğim, </w:t>
      </w:r>
      <w:r>
        <w:t>hukuksal azınlık statüsü sahibi gruplar değildir. Çoğunluktan farklı olan, bu farklılığı kimliğinin vazgeçilmez parçası sayan ve dominant-olmayan gruptur.</w:t>
      </w:r>
      <w:r w:rsidR="0043200E" w:rsidRPr="0043200E">
        <w:t xml:space="preserve"> </w:t>
      </w:r>
    </w:p>
    <w:p w:rsidR="0043200E" w:rsidRDefault="0043200E" w:rsidP="0043200E">
      <w:pPr>
        <w:spacing w:before="120"/>
        <w:ind w:left="-360"/>
        <w:jc w:val="center"/>
      </w:pPr>
      <w:r>
        <w:t>٭٭٭</w:t>
      </w:r>
    </w:p>
    <w:p w:rsidR="00FE1772" w:rsidRDefault="00FE1772" w:rsidP="008A4FC9">
      <w:pPr>
        <w:spacing w:before="120"/>
        <w:ind w:firstLine="708"/>
      </w:pPr>
      <w:r>
        <w:t>Azınlık, bir vatandaş türüdür. Ama, diğerlerinden “daha az eşit” bir vatandaş. “Kürtler eşit haklara sahiptir, cumhurbaşkanı bile olabilirler” dediğiniz zaman Şerefe</w:t>
      </w:r>
      <w:r w:rsidR="00EF1FCE">
        <w:t>ttin Elçi örneği verilmelidir: Y</w:t>
      </w:r>
      <w:r>
        <w:t xml:space="preserve">aklaşık …. Ay bakanlık yaptı, …. Ay hapis yattı. </w:t>
      </w:r>
    </w:p>
    <w:p w:rsidR="00853E1F" w:rsidRDefault="00FE1772" w:rsidP="008A4FC9">
      <w:pPr>
        <w:spacing w:before="120"/>
        <w:ind w:firstLine="708"/>
      </w:pPr>
      <w:r>
        <w:t xml:space="preserve">Dolayısıyla, azınlık </w:t>
      </w:r>
      <w:r w:rsidR="00EF1FCE">
        <w:t xml:space="preserve">bir “tam vatandaş” değildir. Devletin onu böyle saymasının sebebi, genellikle, güvenlik </w:t>
      </w:r>
      <w:r w:rsidR="0043200E">
        <w:t xml:space="preserve">(sadakat) </w:t>
      </w:r>
      <w:r w:rsidR="00EF1FCE">
        <w:t xml:space="preserve">endişesidir. </w:t>
      </w:r>
      <w:r w:rsidR="00853E1F">
        <w:t>Söylenen şudur: Her devlette bir sarkaç işler. Bunun bir yanında Milli Güvenlik Devleti, öte yanında İnsan Hakları Devleti veya Demokrasi Devleti bulunur.</w:t>
      </w:r>
    </w:p>
    <w:p w:rsidR="00EF1FCE" w:rsidRDefault="00EF1FCE" w:rsidP="008A4FC9">
      <w:pPr>
        <w:spacing w:before="120"/>
        <w:ind w:firstLine="708"/>
      </w:pPr>
      <w:r>
        <w:t xml:space="preserve">Fakat işin ilginç yanı şudur ki, </w:t>
      </w:r>
      <w:r w:rsidR="00C9452B">
        <w:t xml:space="preserve">Sarkaç birincisine doğru salınınca ikincisi ortadan kalkar, ama ikincisine doğru salınınca birincisi ortadan kalkmaz. Tam tersine, </w:t>
      </w:r>
      <w:r>
        <w:t>bütün vatandaşlar tam vatandaş olmayınca, o devlet de bir “tam devlet” değildir. Çünkü, vatandaşları arasında şu veya bu biçimde ayrım gözeten devlet</w:t>
      </w:r>
      <w:r w:rsidR="00853E1F">
        <w:t>in güvenliği</w:t>
      </w:r>
      <w:r>
        <w:t xml:space="preserve"> tehlikededir.</w:t>
      </w:r>
      <w:r w:rsidR="00030A0A">
        <w:t xml:space="preserve"> Sağır kulağının üzerine yatamaz.</w:t>
      </w:r>
      <w:r>
        <w:t xml:space="preserve"> “Ancak hakkını verdiğine güvenebilirsin”. </w:t>
      </w:r>
    </w:p>
    <w:p w:rsidR="00EF1FCE" w:rsidRDefault="00EF1FCE" w:rsidP="008A4FC9">
      <w:pPr>
        <w:spacing w:before="120"/>
        <w:ind w:firstLine="708"/>
      </w:pPr>
      <w:r>
        <w:t xml:space="preserve">Bunun yolu, bu farklı vatandaşların farklılıklarını, </w:t>
      </w:r>
      <w:r w:rsidR="00030A0A">
        <w:t xml:space="preserve">özelliklerini korumalarına izin vermek, yani bu farklılıkları tanımak yoluyla onları mutlu ve dolayısıyla entegre etmektir. Bunun teknik terimi de, bu gruplara mensup bireylerin </w:t>
      </w:r>
      <w:r w:rsidR="00CD2659">
        <w:t>“</w:t>
      </w:r>
      <w:r w:rsidR="00030A0A">
        <w:t>alt kimliklerini tanımak</w:t>
      </w:r>
      <w:r w:rsidR="00CD2659">
        <w:t>”</w:t>
      </w:r>
      <w:r w:rsidR="00030A0A">
        <w:t xml:space="preserve">tır. </w:t>
      </w:r>
      <w:r w:rsidR="00CD2659">
        <w:t xml:space="preserve">Bu da </w:t>
      </w:r>
      <w:r>
        <w:t xml:space="preserve">genellikle dil haklarında somutlaşır. </w:t>
      </w:r>
      <w:r w:rsidR="00CD2659">
        <w:t xml:space="preserve"> </w:t>
      </w:r>
    </w:p>
    <w:p w:rsidR="0043200E" w:rsidRDefault="0043200E" w:rsidP="008A4FC9">
      <w:pPr>
        <w:spacing w:before="120"/>
        <w:ind w:firstLine="708"/>
      </w:pPr>
      <w:r>
        <w:t>Peki, devlet vatandaşın sadakatinden nasıl emin olacak?</w:t>
      </w:r>
    </w:p>
    <w:p w:rsidR="0043200E" w:rsidRDefault="00CD2659" w:rsidP="008A4FC9">
      <w:pPr>
        <w:spacing w:before="120"/>
        <w:ind w:firstLine="708"/>
      </w:pPr>
      <w:r>
        <w:t xml:space="preserve">Burada formül şudur: Devlet azınlığın alt kimliğini tanıyacaktır, </w:t>
      </w:r>
      <w:r w:rsidR="00C9452B">
        <w:t xml:space="preserve">mutlu olan </w:t>
      </w:r>
      <w:r>
        <w:t>azınlık da ülkenin üst kimliğini kabul edecektir</w:t>
      </w:r>
      <w:r w:rsidR="00C9452B">
        <w:t xml:space="preserve"> (sadakat)</w:t>
      </w:r>
      <w:r>
        <w:t xml:space="preserve">. </w:t>
      </w:r>
    </w:p>
    <w:p w:rsidR="008A4FC9" w:rsidRDefault="008A4FC9" w:rsidP="008A4FC9">
      <w:pPr>
        <w:spacing w:before="120"/>
        <w:ind w:left="-360"/>
        <w:jc w:val="center"/>
      </w:pPr>
      <w:r>
        <w:t>٭٭٭</w:t>
      </w:r>
    </w:p>
    <w:p w:rsidR="0043200E" w:rsidRDefault="00CD2659" w:rsidP="008A4FC9">
      <w:pPr>
        <w:spacing w:before="120"/>
        <w:ind w:firstLine="708"/>
      </w:pPr>
      <w:r>
        <w:lastRenderedPageBreak/>
        <w:t>Cumhuriyet, 1920’lerde bir yukarıdan devrim yaptı</w:t>
      </w:r>
      <w:r w:rsidR="0043200E">
        <w:t>.</w:t>
      </w:r>
      <w:r w:rsidR="008A4FC9">
        <w:t xml:space="preserve"> </w:t>
      </w:r>
      <w:r w:rsidR="0043200E">
        <w:t xml:space="preserve">Feodal devlet’ten monist ulus-devlete geçti. Osmanlı’nın 1839’da yapmayı denediği ama tam yapamadığı şeye girişti. Tebaa’yı vatandaş yaptı ve onun üst kimliğini “Türk” olarak ilan etti. </w:t>
      </w:r>
      <w:r w:rsidR="008A4FC9">
        <w:t>Sonuç olarak</w:t>
      </w:r>
      <w:r w:rsidR="00853E1F">
        <w:t xml:space="preserve"> </w:t>
      </w:r>
      <w:r w:rsidR="008A4FC9">
        <w:t xml:space="preserve"> burada “farklı” vatandaş yani azınlık,</w:t>
      </w:r>
      <w:r w:rsidR="00853E1F">
        <w:t xml:space="preserve"> başta gayrimüslimler olmak üzere, </w:t>
      </w:r>
      <w:r w:rsidR="008A4FC9">
        <w:t xml:space="preserve"> “zoraki vatandaş” oldu. </w:t>
      </w:r>
      <w:r w:rsidR="00853E1F">
        <w:t xml:space="preserve">Çünkü hem Türk aynı zamanda bir etnik grubun adıydı, hem de Millet Sistemi’nin mirası gereği, Müslüman olmadan Türk olunamıyordu. </w:t>
      </w:r>
      <w:r w:rsidR="00C9452B">
        <w:t xml:space="preserve">Neticede, gayrimüslimler ile Kürtler başta olmak üzere kimi gruplar sorun olarak belirdi. </w:t>
      </w:r>
    </w:p>
    <w:p w:rsidR="0043200E" w:rsidRDefault="0043200E" w:rsidP="008A4FC9">
      <w:pPr>
        <w:spacing w:before="120"/>
        <w:ind w:firstLine="708"/>
      </w:pPr>
      <w:r>
        <w:t xml:space="preserve">Şimdi, bu devrimin ikinci aşaması gündemde. Monist ulus-devlet’ten plüralist devlete geçiliyor. </w:t>
      </w:r>
    </w:p>
    <w:p w:rsidR="008A4FC9" w:rsidRDefault="008A4FC9" w:rsidP="008A4FC9">
      <w:pPr>
        <w:spacing w:before="120"/>
        <w:ind w:firstLine="708"/>
      </w:pPr>
      <w:r>
        <w:t xml:space="preserve">Çünkü, kendini “Türk” sayanlar için mesele yok. Ama saymayanlar için mesele var. Üst kimlik öyle bir üst kimlik olmalı ki, belli bir etnik-dinsel grubu simgelemesin, o toprak üzerinde yaşayan bütün vatandaşları simgelesin. Bu da ancak teritoryal bir kimlik olabilir. </w:t>
      </w:r>
      <w:r w:rsidR="00853E1F">
        <w:t xml:space="preserve">Biz Rapor’da buna “Türkiyeli” dedik. Anayasal Vatandaşlık veya TC Vatandaşlığı da diyenler var. </w:t>
      </w:r>
    </w:p>
    <w:p w:rsidR="008A4FC9" w:rsidRDefault="008A4FC9" w:rsidP="008A4FC9">
      <w:pPr>
        <w:spacing w:before="120"/>
        <w:ind w:firstLine="708"/>
      </w:pPr>
      <w:r>
        <w:t xml:space="preserve">Sonuç, </w:t>
      </w:r>
      <w:r w:rsidR="00853E1F">
        <w:t xml:space="preserve">“zoraki vatandaş”ın artık “gönüllü vatandaş”lığa terfii olacaktır. Neticede, devlet daha fazla güvenliğe kavuşacaktır. </w:t>
      </w:r>
    </w:p>
    <w:p w:rsidR="008A4FC9" w:rsidRDefault="008A4FC9" w:rsidP="008A4FC9">
      <w:pPr>
        <w:spacing w:before="120"/>
        <w:jc w:val="center"/>
      </w:pPr>
      <w:r>
        <w:t>٭٭٭</w:t>
      </w:r>
    </w:p>
    <w:p w:rsidR="00FE1772" w:rsidRDefault="00030A0A" w:rsidP="00FE1772">
      <w:pPr>
        <w:spacing w:before="120"/>
      </w:pPr>
      <w:r>
        <w:t xml:space="preserve"> </w:t>
      </w:r>
    </w:p>
    <w:p w:rsidR="00FE1772" w:rsidRDefault="00FE1772" w:rsidP="00FE1772">
      <w:pPr>
        <w:ind w:left="708"/>
      </w:pPr>
    </w:p>
    <w:p w:rsidR="00FE1772" w:rsidRDefault="00FE1772" w:rsidP="00FE1772">
      <w:pPr>
        <w:ind w:left="708"/>
      </w:pPr>
    </w:p>
    <w:sectPr w:rsidR="00FE1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B7549"/>
    <w:multiLevelType w:val="hybridMultilevel"/>
    <w:tmpl w:val="0E10F41E"/>
    <w:lvl w:ilvl="0" w:tplc="BB568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FC465D"/>
    <w:multiLevelType w:val="hybridMultilevel"/>
    <w:tmpl w:val="5C1AED8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EC"/>
    <w:rsid w:val="00030A0A"/>
    <w:rsid w:val="000E37EC"/>
    <w:rsid w:val="00327641"/>
    <w:rsid w:val="0043200E"/>
    <w:rsid w:val="00432B40"/>
    <w:rsid w:val="0050230A"/>
    <w:rsid w:val="0063485E"/>
    <w:rsid w:val="00853E1F"/>
    <w:rsid w:val="008A4FC9"/>
    <w:rsid w:val="0092180F"/>
    <w:rsid w:val="00C9452B"/>
    <w:rsid w:val="00CD2659"/>
    <w:rsid w:val="00EF1FCE"/>
    <w:rsid w:val="00F7279E"/>
    <w:rsid w:val="00FE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B18500FB-AB7A-BA46-BA59-A46B6F7A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lang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3267</Characters>
  <Application>Microsoft Office Word</Application>
  <DocSecurity>0</DocSecurity>
  <Lines>27</Lines>
  <Paragraphs>7</Paragraphs>
  <ScaleCrop>false</ScaleCrop>
  <Company>SBF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Baskın</dc:creator>
  <cp:keywords/>
  <dc:description/>
  <cp:lastModifiedBy>Bülent Küçükaslan</cp:lastModifiedBy>
  <cp:revision>2</cp:revision>
  <cp:lastPrinted>2005-12-07T22:01:00Z</cp:lastPrinted>
  <dcterms:created xsi:type="dcterms:W3CDTF">2021-09-24T11:27:00Z</dcterms:created>
  <dcterms:modified xsi:type="dcterms:W3CDTF">2021-09-24T11:27:00Z</dcterms:modified>
</cp:coreProperties>
</file>