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85E" w:rsidRDefault="00185FB7">
      <w:bookmarkStart w:id="0" w:name="_GoBack"/>
      <w:bookmarkEnd w:id="0"/>
      <w:r>
        <w:t>TESEV 9-10 ARALIK 05, Vatandaşlık ve Azınlık</w:t>
      </w:r>
    </w:p>
    <w:p w:rsidR="00185FB7" w:rsidRDefault="00185FB7"/>
    <w:p w:rsidR="00185FB7" w:rsidRPr="00185FB7" w:rsidRDefault="00185FB7">
      <w:pPr>
        <w:rPr>
          <w:u w:val="single"/>
        </w:rPr>
      </w:pPr>
      <w:r w:rsidRPr="00185FB7">
        <w:rPr>
          <w:u w:val="single"/>
        </w:rPr>
        <w:t>Osmanlı’dan Cumhuriyete Mülkiyet Politikaları ve Gayrımüslimler – 1936 Beyannamesi.</w:t>
      </w:r>
    </w:p>
    <w:p w:rsidR="00185FB7" w:rsidRDefault="00185FB7"/>
    <w:p w:rsidR="00185FB7" w:rsidRDefault="00185FB7" w:rsidP="00185FB7">
      <w:pPr>
        <w:numPr>
          <w:ilvl w:val="0"/>
          <w:numId w:val="1"/>
        </w:numPr>
        <w:spacing w:before="120"/>
        <w:ind w:left="357" w:hanging="357"/>
      </w:pPr>
      <w:r w:rsidRPr="00185FB7">
        <w:rPr>
          <w:u w:val="single"/>
        </w:rPr>
        <w:t>BİREY</w:t>
      </w:r>
      <w:r>
        <w:t>:</w:t>
      </w:r>
    </w:p>
    <w:p w:rsidR="00185FB7" w:rsidRDefault="00185FB7" w:rsidP="00185FB7">
      <w:pPr>
        <w:numPr>
          <w:ilvl w:val="0"/>
          <w:numId w:val="1"/>
        </w:numPr>
        <w:spacing w:before="120"/>
        <w:ind w:left="357" w:hanging="357"/>
      </w:pPr>
      <w:r>
        <w:t>Millet Sisteminde ayrımcılık vardı ama bu bireysel mülkiyete yansımadı. (silah hariç, 1908’den sonra bir süre o da serbest).</w:t>
      </w:r>
    </w:p>
    <w:p w:rsidR="00185FB7" w:rsidRDefault="00185FB7" w:rsidP="00185FB7">
      <w:pPr>
        <w:numPr>
          <w:ilvl w:val="0"/>
          <w:numId w:val="1"/>
        </w:numPr>
        <w:spacing w:before="120"/>
        <w:ind w:left="357" w:hanging="357"/>
      </w:pPr>
      <w:r>
        <w:t xml:space="preserve">Bireysel mülkiyete fiili saldırılar görülüyor (Fatih’in vasiyeti: yeniçerileri İstanbul’a geçirmeyin, yağmalarlar. Geçiyorlar ve yağmalıyorlar). Ama bu zaten M ve GM’ler arasında ortak sorun. İdam olunanın malı Hazineye. </w:t>
      </w:r>
    </w:p>
    <w:p w:rsidR="00185FB7" w:rsidRDefault="00185FB7" w:rsidP="00185FB7">
      <w:pPr>
        <w:numPr>
          <w:ilvl w:val="0"/>
          <w:numId w:val="1"/>
        </w:numPr>
        <w:spacing w:before="120"/>
        <w:ind w:left="357" w:hanging="357"/>
      </w:pPr>
      <w:r>
        <w:t xml:space="preserve"> </w:t>
      </w:r>
      <w:r w:rsidRPr="00185FB7">
        <w:rPr>
          <w:u w:val="single"/>
        </w:rPr>
        <w:t>CEMAAT</w:t>
      </w:r>
      <w:r>
        <w:t>:</w:t>
      </w:r>
    </w:p>
    <w:p w:rsidR="00185FB7" w:rsidRDefault="00185FB7" w:rsidP="00185FB7">
      <w:pPr>
        <w:numPr>
          <w:ilvl w:val="0"/>
          <w:numId w:val="1"/>
        </w:numPr>
        <w:spacing w:before="120"/>
        <w:ind w:left="357" w:hanging="357"/>
      </w:pPr>
      <w:r>
        <w:t>Cemaat açısından mülkiyete sınırlamalar vardı: izinsiz kilise vs. yapılamaz, çan kulesi minareden yüksek olamaz, vs. (bugüne de yansıdı).</w:t>
      </w:r>
    </w:p>
    <w:p w:rsidR="00185FB7" w:rsidRDefault="00185FB7" w:rsidP="00185FB7">
      <w:pPr>
        <w:numPr>
          <w:ilvl w:val="0"/>
          <w:numId w:val="1"/>
        </w:numPr>
        <w:spacing w:before="120"/>
        <w:ind w:left="357" w:hanging="357"/>
      </w:pPr>
      <w:r>
        <w:t xml:space="preserve">1913’e kadar tüzel kişilik konusunda da M ile GM arasında “eşit sorun” vardı. Bu tarihte </w:t>
      </w:r>
      <w:r w:rsidR="00D50914">
        <w:t xml:space="preserve">tüzel kişilik geldiği için </w:t>
      </w:r>
      <w:r>
        <w:t xml:space="preserve">çözüldü. Daha önceleri cemaatler mevhum veya müstear adlara kayıt yapılıyordu. </w:t>
      </w:r>
    </w:p>
    <w:p w:rsidR="00D50914" w:rsidRDefault="00D50914" w:rsidP="00D50914">
      <w:pPr>
        <w:spacing w:before="120"/>
        <w:jc w:val="center"/>
      </w:pPr>
      <w:r>
        <w:t>٭٭٭</w:t>
      </w:r>
    </w:p>
    <w:p w:rsidR="00185FB7" w:rsidRDefault="00D50914" w:rsidP="00185FB7">
      <w:pPr>
        <w:numPr>
          <w:ilvl w:val="0"/>
          <w:numId w:val="1"/>
        </w:numPr>
        <w:spacing w:before="120"/>
        <w:ind w:left="357" w:hanging="357"/>
      </w:pPr>
      <w:r>
        <w:t>1915 ve sonrasında “Fiili devlet saldırısı politikası” başladı. Bu, GM’den M’ye sermaye transferidir: 1915, 1923, 1927, 1934, 1942, 1955, 1964.</w:t>
      </w:r>
      <w:r w:rsidR="001A6CE7" w:rsidRPr="001A6CE7">
        <w:t xml:space="preserve"> </w:t>
      </w:r>
      <w:r w:rsidR="001A6CE7">
        <w:t>Siyasal ve eylemsel nitelikte, ama sistematik.</w:t>
      </w:r>
    </w:p>
    <w:p w:rsidR="00D50914" w:rsidRDefault="00D50914" w:rsidP="00185FB7">
      <w:pPr>
        <w:numPr>
          <w:ilvl w:val="0"/>
          <w:numId w:val="1"/>
        </w:numPr>
        <w:spacing w:before="120"/>
        <w:ind w:left="357" w:hanging="357"/>
      </w:pPr>
      <w:r>
        <w:t xml:space="preserve">1971’den sonra “Hukuki devlet saldırısı politikası” başladı. Ama bireysel mülkiyete değil, kolektif mülkiyete (azınlık vakıflarına). </w:t>
      </w:r>
      <w:r w:rsidR="001A6CE7">
        <w:t>Hukuksal nitelikte ve çok sistematik</w:t>
      </w:r>
    </w:p>
    <w:p w:rsidR="00D50914" w:rsidRDefault="00D50914" w:rsidP="00185FB7">
      <w:pPr>
        <w:numPr>
          <w:ilvl w:val="0"/>
          <w:numId w:val="1"/>
        </w:numPr>
        <w:spacing w:before="120"/>
        <w:ind w:left="357" w:hanging="357"/>
      </w:pPr>
      <w:r>
        <w:t>[Bundan sonra: Tr’de Azınlıklar, s.100-104]</w:t>
      </w:r>
    </w:p>
    <w:p w:rsidR="00EB460B" w:rsidRDefault="00EB460B" w:rsidP="00185FB7">
      <w:pPr>
        <w:numPr>
          <w:ilvl w:val="0"/>
          <w:numId w:val="1"/>
        </w:numPr>
        <w:spacing w:before="120"/>
        <w:ind w:left="357" w:hanging="357"/>
      </w:pPr>
      <w:r>
        <w:t>[Bundan sonra yine kitap, s.123-129, aşağıda özetliyorum]:</w:t>
      </w:r>
    </w:p>
    <w:p w:rsidR="003D1935" w:rsidRDefault="00D50914" w:rsidP="003D1935">
      <w:pPr>
        <w:numPr>
          <w:ilvl w:val="0"/>
          <w:numId w:val="1"/>
        </w:numPr>
        <w:spacing w:before="120"/>
        <w:ind w:left="357" w:hanging="357"/>
      </w:pPr>
      <w:r>
        <w:t xml:space="preserve">3 Ağustos 2002 tarihli </w:t>
      </w:r>
      <w:r w:rsidR="001A6CE7">
        <w:t xml:space="preserve">(no. 4771) </w:t>
      </w:r>
      <w:r w:rsidRPr="003D1935">
        <w:rPr>
          <w:u w:val="single"/>
        </w:rPr>
        <w:t>Üçüncü</w:t>
      </w:r>
      <w:r>
        <w:t xml:space="preserve"> AB Uyum Paketiyle: Vakıflar Kanunu değiştirildi, GM vakıflarının Bakanlar Kurulu kararıyla gayrimenkul edinmelerine izin çıktı. </w:t>
      </w:r>
    </w:p>
    <w:p w:rsidR="003D1935" w:rsidRDefault="003D1935" w:rsidP="003D1935">
      <w:pPr>
        <w:numPr>
          <w:ilvl w:val="0"/>
          <w:numId w:val="1"/>
        </w:numPr>
        <w:spacing w:before="120"/>
        <w:ind w:left="357" w:hanging="357"/>
      </w:pPr>
      <w:r>
        <w:t xml:space="preserve">GM’leri “yabancı” sayan zihniyet bu yasa çalışmaları sırasında mal edinme ve tasarruf izni verirken, “İçişleri ve dışişleri Bakanlıklarının izni” zorunluluğunun yasaya konması için çok uğraştı. Birincisi tehlike, ikincisi yabancı demekti. </w:t>
      </w:r>
    </w:p>
    <w:p w:rsidR="003D1935" w:rsidRDefault="003D1935" w:rsidP="003D1935">
      <w:pPr>
        <w:spacing w:before="120"/>
        <w:ind w:left="708"/>
      </w:pPr>
      <w:r>
        <w:t xml:space="preserve">Bu yaklaşım Nejat Arvesen ve ABGS-Dışişleri tarafından engellendi. Fakat BK izni yasaya yine de girdi. Bu durum Lozan başta olmak üzere kimi ua antlaşma ve sözleşmelere ve ayrıca anayasanın 10 maddesindeki eşitlik ilkesine aykırıydı. Çünkü M vakıfları yalnızca VGM’den izin alıyordu. </w:t>
      </w:r>
    </w:p>
    <w:p w:rsidR="00D50914" w:rsidRDefault="003D1935" w:rsidP="003D1935">
      <w:pPr>
        <w:spacing w:before="120"/>
        <w:ind w:left="708"/>
      </w:pPr>
      <w:r>
        <w:t>Fakat asıl sakınca, VGM’nin hazırladığı uygulama yönetmeliğiyle (4.10.2002) ortaya çıktı. Fevkalade çok sayıda belge istendi. “Uluslararası karşılıklılık” istendi. İhlal ettikleri: Anayasa md.2,10, 35, 90/5; Vakıflar Kanunu md.44; Lozan md.37,39/2, 40, 42/3; AİHS md.14; 1969 Viyana Antlaşmalar Hukuku Sözleşmesi md.60/5.</w:t>
      </w:r>
    </w:p>
    <w:p w:rsidR="00D50914" w:rsidRDefault="00D50914" w:rsidP="00185FB7">
      <w:pPr>
        <w:numPr>
          <w:ilvl w:val="0"/>
          <w:numId w:val="1"/>
        </w:numPr>
        <w:spacing w:before="120"/>
        <w:ind w:left="357" w:hanging="357"/>
      </w:pPr>
      <w:r>
        <w:lastRenderedPageBreak/>
        <w:t xml:space="preserve">2 Ocak 2003 tarihli </w:t>
      </w:r>
      <w:r w:rsidR="002F4D52">
        <w:t xml:space="preserve">(no. 4778) </w:t>
      </w:r>
      <w:r w:rsidRPr="003D1935">
        <w:rPr>
          <w:u w:val="single"/>
        </w:rPr>
        <w:t>Dördüncü</w:t>
      </w:r>
      <w:r>
        <w:t xml:space="preserve"> Paketle: Vakıflar Kanunu yine değiştirildi. </w:t>
      </w:r>
      <w:r w:rsidR="003D1935">
        <w:t xml:space="preserve">Yalçınbayır sayesinde </w:t>
      </w:r>
      <w:r>
        <w:t xml:space="preserve">BK kararı yerine VGM izni getirildi (M vakıfları için VGM yetiyordu). İlgili yönetmelik 24 Ocak 2003’te yürürlüğe girdi. </w:t>
      </w:r>
    </w:p>
    <w:p w:rsidR="003D1935" w:rsidRDefault="00EB460B" w:rsidP="003D1935">
      <w:pPr>
        <w:spacing w:before="120"/>
        <w:ind w:left="708"/>
      </w:pPr>
      <w:r>
        <w:t xml:space="preserve">Fakat aynı zihniyet yine devreye girdi. Yönetmelikle, diğer vakıflardan talep edilmeyen bir koşul getirildi: gerektiğinde ilgili Bakanlık, kamu kurum ve kuruluşlarının görüşü alınarak”. Tabii ki istihbarat kuruluşları. Yine Anayasa ve Lozan’ın ihlali. </w:t>
      </w:r>
    </w:p>
    <w:p w:rsidR="003D1935" w:rsidRDefault="003D1935" w:rsidP="00185FB7">
      <w:pPr>
        <w:numPr>
          <w:ilvl w:val="0"/>
          <w:numId w:val="1"/>
        </w:numPr>
        <w:spacing w:before="120"/>
        <w:ind w:left="357" w:hanging="357"/>
      </w:pPr>
      <w:r>
        <w:t xml:space="preserve">19 Haziran 2003 tarihli </w:t>
      </w:r>
      <w:r w:rsidRPr="003D1935">
        <w:rPr>
          <w:u w:val="single"/>
        </w:rPr>
        <w:t>Altıncı</w:t>
      </w:r>
      <w:r w:rsidR="00D50914">
        <w:t xml:space="preserve"> Paketle: </w:t>
      </w:r>
      <w:r>
        <w:t xml:space="preserve">GM vakıflarının kullandıkları taşınmazların tescil süresi uzatıldı. </w:t>
      </w:r>
    </w:p>
    <w:p w:rsidR="00EB460B" w:rsidRDefault="00EB460B" w:rsidP="00185FB7">
      <w:pPr>
        <w:numPr>
          <w:ilvl w:val="0"/>
          <w:numId w:val="1"/>
        </w:numPr>
        <w:spacing w:before="120"/>
        <w:ind w:left="357" w:hanging="357"/>
      </w:pPr>
      <w:r>
        <w:t>Radikal, 6.Mayıs 2003’den haber: MGK’nın 7 Nisan 2003 tarihli Gizli yazısı: “</w:t>
      </w:r>
      <w:r w:rsidR="001A6CE7">
        <w:t xml:space="preserve">VGM’nin </w:t>
      </w:r>
      <w:r>
        <w:t>birtakım idari uygulamalarla süreyi daha verimli kullanabileceği düşünülmüştür</w:t>
      </w:r>
      <w:r w:rsidR="001A6CE7">
        <w:t xml:space="preserve">” (s.126). </w:t>
      </w:r>
    </w:p>
    <w:p w:rsidR="001A6CE7" w:rsidRDefault="001A6CE7" w:rsidP="001A6CE7">
      <w:pPr>
        <w:spacing w:before="120"/>
        <w:ind w:left="708"/>
      </w:pPr>
      <w:r>
        <w:t xml:space="preserve">Eşine ender rastlanacak bir üslup kıvraklığı. </w:t>
      </w:r>
    </w:p>
    <w:p w:rsidR="001A6CE7" w:rsidRDefault="001A6CE7" w:rsidP="001A6CE7">
      <w:pPr>
        <w:spacing w:before="120"/>
        <w:ind w:left="708"/>
      </w:pPr>
      <w:r>
        <w:t xml:space="preserve">Ayrıca: “Müracaatların bakanlık kurum ve kuruluşlarının görüşlerinin alınması” da şu demek: Azınlık Tali Komisyonu ve istihbarat örgütleri. </w:t>
      </w:r>
    </w:p>
    <w:p w:rsidR="003D1935" w:rsidRDefault="001A6CE7" w:rsidP="001A6CE7">
      <w:pPr>
        <w:spacing w:before="120"/>
        <w:ind w:left="708"/>
      </w:pPr>
      <w:r>
        <w:t>BURADA, SAYDAM GÖSTERİLECEK.</w:t>
      </w:r>
      <w:r w:rsidR="002F4D52">
        <w:t xml:space="preserve"> Uyarı: bunlar sadece tescille ilgili. Ellerinden alınanlar ve üçüncü kişilere satılanlarla hiç ilgisiz!</w:t>
      </w:r>
    </w:p>
    <w:p w:rsidR="001A6CE7" w:rsidRDefault="002F4D52" w:rsidP="002F4D52">
      <w:pPr>
        <w:numPr>
          <w:ilvl w:val="0"/>
          <w:numId w:val="1"/>
        </w:numPr>
        <w:spacing w:before="120"/>
      </w:pPr>
      <w:r>
        <w:t>En azından tescil meselesi halledildi diye düşünülürken, Yargıtay 1. Hukuk Dairesi inanılması güç bir karar vermiştir (s.103): Mahkeme, tapulu mallar için bile tescil başvurusu istemiştir!</w:t>
      </w:r>
    </w:p>
    <w:p w:rsidR="002F4D52" w:rsidRDefault="002F4D52" w:rsidP="002F4D52">
      <w:pPr>
        <w:numPr>
          <w:ilvl w:val="0"/>
          <w:numId w:val="1"/>
        </w:numPr>
        <w:spacing w:before="120"/>
      </w:pPr>
      <w:r>
        <w:t xml:space="preserve">Danıştay da Yargıtayı izleyecektir. </w:t>
      </w:r>
    </w:p>
    <w:p w:rsidR="002F4D52" w:rsidRDefault="002F4D52" w:rsidP="002F4D52">
      <w:pPr>
        <w:numPr>
          <w:ilvl w:val="0"/>
          <w:numId w:val="1"/>
        </w:numPr>
        <w:spacing w:before="120"/>
      </w:pPr>
      <w:r>
        <w:t>Bugünkü durum: olumlu cevap oranı % 18.66’dan % 27,6’ya çıkmıştır (bunlar sadece tescil oranları!)</w:t>
      </w:r>
    </w:p>
    <w:p w:rsidR="00C552B6" w:rsidRDefault="00C552B6" w:rsidP="002F4D52">
      <w:pPr>
        <w:numPr>
          <w:ilvl w:val="0"/>
          <w:numId w:val="1"/>
        </w:numPr>
        <w:spacing w:before="120"/>
      </w:pPr>
      <w:r>
        <w:t>Yeni Vakıflar Kanunu hala çıkmadı. Devlete geçenler geri verilecek, ama VGM üçüncü şahıslara satılanlar için tazminat vermemeye kararlı (Gelişmeler listesi var)</w:t>
      </w:r>
    </w:p>
    <w:sectPr w:rsidR="00C55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D3336D"/>
    <w:multiLevelType w:val="hybridMultilevel"/>
    <w:tmpl w:val="572CA532"/>
    <w:lvl w:ilvl="0" w:tplc="634A71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embedSystemFonts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FB7"/>
    <w:rsid w:val="00185FB7"/>
    <w:rsid w:val="001A6CE7"/>
    <w:rsid w:val="002F4D52"/>
    <w:rsid w:val="00327641"/>
    <w:rsid w:val="003D1935"/>
    <w:rsid w:val="00432B40"/>
    <w:rsid w:val="0063485E"/>
    <w:rsid w:val="00C552B6"/>
    <w:rsid w:val="00C90D06"/>
    <w:rsid w:val="00D50914"/>
    <w:rsid w:val="00EB460B"/>
    <w:rsid w:val="00F7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  <w14:defaultImageDpi w14:val="0"/>
  <w15:docId w15:val="{B18500FB-AB7A-BA46-BA59-A46B6F7A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 w:cs="Arial"/>
      <w:lang w:eastAsia="tr-T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3306</Characters>
  <Application>Microsoft Office Word</Application>
  <DocSecurity>0</DocSecurity>
  <Lines>27</Lines>
  <Paragraphs>7</Paragraphs>
  <ScaleCrop>false</ScaleCrop>
  <Company>SBF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TESEV 9-10 ARALIK 05, Vatandaşlık ve Azınlık</dc:title>
  <dc:subject/>
  <dc:creator>Baskın</dc:creator>
  <cp:keywords/>
  <dc:description/>
  <cp:lastModifiedBy>Bülent Küçükaslan</cp:lastModifiedBy>
  <cp:revision>2</cp:revision>
  <cp:lastPrinted>2005-12-08T00:11:00Z</cp:lastPrinted>
  <dcterms:created xsi:type="dcterms:W3CDTF">2021-09-24T11:24:00Z</dcterms:created>
  <dcterms:modified xsi:type="dcterms:W3CDTF">2021-09-24T11:24:00Z</dcterms:modified>
</cp:coreProperties>
</file>